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3.0 -->
  <w:body>
    <w:p>
      <w:pPr>
        <w:spacing w:before="0" w:after="0" w:line="240" w:lineRule="auto"/>
        <w:outlineLvl w:val="0"/>
        <w:rPr>
          <w:sz w:val="52"/>
          <w:szCs w:val="52"/>
        </w:rPr>
      </w:pPr>
      <w:r>
        <w:rPr>
          <w:strike w:val="0"/>
          <w:sz w:val="52"/>
          <w:szCs w:val="52"/>
          <w:u w:val="none"/>
        </w:rPr>
        <w:drawing>
          <wp:inline>
            <wp:extent cx="3562350" cy="13716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  <w:jc w:val="center"/>
        <w:outlineLvl w:val="0"/>
        <w:rPr>
          <w:rFonts w:ascii="Times New Roman" w:eastAsia="Times New Roman" w:hAnsi="Times New Roman" w:cs="Times New Roman"/>
          <w:position w:val="-1"/>
          <w:sz w:val="52"/>
          <w:szCs w:val="52"/>
        </w:rPr>
      </w:pPr>
    </w:p>
    <w:p>
      <w:pPr>
        <w:spacing w:before="0" w:after="0" w:line="240" w:lineRule="auto"/>
        <w:jc w:val="center"/>
        <w:outlineLvl w:val="0"/>
        <w:rPr>
          <w:rFonts w:ascii="Times New Roman" w:eastAsia="Times New Roman" w:hAnsi="Times New Roman" w:cs="Times New Roman"/>
          <w:position w:val="-1"/>
          <w:sz w:val="52"/>
          <w:szCs w:val="52"/>
        </w:rPr>
      </w:pPr>
    </w:p>
    <w:p>
      <w:pPr>
        <w:spacing w:before="0" w:after="0" w:line="240" w:lineRule="auto"/>
        <w:jc w:val="center"/>
        <w:outlineLvl w:val="0"/>
        <w:rPr>
          <w:rFonts w:ascii="Times New Roman" w:eastAsia="Times New Roman" w:hAnsi="Times New Roman" w:cs="Times New Roman"/>
          <w:position w:val="-1"/>
          <w:sz w:val="52"/>
          <w:szCs w:val="52"/>
        </w:rPr>
      </w:pPr>
    </w:p>
    <w:p>
      <w:pPr>
        <w:spacing w:before="0" w:after="0" w:line="240" w:lineRule="auto"/>
        <w:jc w:val="center"/>
        <w:outlineLvl w:val="0"/>
        <w:rPr>
          <w:rFonts w:ascii="Times New Roman" w:eastAsia="Times New Roman" w:hAnsi="Times New Roman" w:cs="Times New Roman"/>
          <w:position w:val="-1"/>
          <w:sz w:val="52"/>
          <w:szCs w:val="52"/>
        </w:rPr>
      </w:pPr>
    </w:p>
    <w:p>
      <w:pPr>
        <w:spacing w:before="0" w:after="0" w:line="240" w:lineRule="auto"/>
        <w:jc w:val="center"/>
        <w:outlineLvl w:val="0"/>
        <w:rPr>
          <w:sz w:val="48"/>
          <w:szCs w:val="48"/>
        </w:rPr>
      </w:pPr>
      <w:r>
        <w:rPr>
          <w:position w:val="-1"/>
          <w:sz w:val="48"/>
          <w:szCs w:val="48"/>
        </w:rPr>
        <w:t>Инструкция по охране труда</w:t>
      </w:r>
    </w:p>
    <w:p>
      <w:pPr>
        <w:spacing w:before="0" w:after="0" w:line="240" w:lineRule="auto"/>
        <w:jc w:val="center"/>
        <w:outlineLvl w:val="0"/>
        <w:rPr>
          <w:rFonts w:ascii="Times New Roman" w:eastAsia="Times New Roman" w:hAnsi="Times New Roman" w:cs="Times New Roman"/>
          <w:position w:val="-1"/>
          <w:sz w:val="52"/>
          <w:szCs w:val="52"/>
        </w:rPr>
      </w:pPr>
    </w:p>
    <w:p>
      <w:pPr>
        <w:spacing w:before="0" w:after="0" w:line="360" w:lineRule="auto"/>
        <w:jc w:val="center"/>
        <w:outlineLvl w:val="0"/>
        <w:rPr>
          <w:sz w:val="40"/>
          <w:szCs w:val="40"/>
        </w:rPr>
      </w:pPr>
      <w:r>
        <w:rPr>
          <w:position w:val="-1"/>
          <w:sz w:val="40"/>
          <w:szCs w:val="40"/>
        </w:rPr>
        <w:t>компетенции «Инженерия лесопользования и лесовосстановления»</w:t>
      </w:r>
    </w:p>
    <w:p>
      <w:pPr>
        <w:spacing w:before="0" w:after="0" w:line="360" w:lineRule="auto"/>
        <w:jc w:val="center"/>
        <w:outlineLvl w:val="0"/>
        <w:rPr>
          <w:sz w:val="36"/>
          <w:szCs w:val="36"/>
        </w:rPr>
      </w:pPr>
      <w:r>
        <w:rPr>
          <w:position w:val="-1"/>
          <w:sz w:val="36"/>
          <w:szCs w:val="36"/>
        </w:rPr>
        <w:t xml:space="preserve"> </w:t>
      </w:r>
      <w:r>
        <w:rPr>
          <w:position w:val="-1"/>
          <w:sz w:val="36"/>
          <w:szCs w:val="36"/>
        </w:rPr>
        <w:t xml:space="preserve">Итогового (межрегионального) этапа Чемпионата по профессиональному мастерству «Профессионалы» </w:t>
      </w: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jc w:val="center"/>
        <w:outlineLvl w:val="0"/>
        <w:rPr>
          <w:sz w:val="36"/>
          <w:szCs w:val="36"/>
        </w:rPr>
      </w:pPr>
      <w:r>
        <w:rPr>
          <w:position w:val="-1"/>
          <w:sz w:val="36"/>
          <w:szCs w:val="36"/>
          <w:u w:val="single"/>
        </w:rPr>
        <w:t>Хабаровский край</w:t>
      </w:r>
    </w:p>
    <w:p>
      <w:pPr>
        <w:spacing w:before="0" w:after="0" w:line="240" w:lineRule="auto"/>
        <w:jc w:val="center"/>
        <w:outlineLvl w:val="0"/>
        <w:rPr>
          <w:sz w:val="22"/>
          <w:szCs w:val="22"/>
        </w:rPr>
      </w:pPr>
      <w:r>
        <w:rPr>
          <w:position w:val="-1"/>
          <w:sz w:val="22"/>
          <w:szCs w:val="22"/>
        </w:rPr>
        <w:t>регион проведения</w:t>
      </w: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jc w:val="center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jc w:val="center"/>
        <w:outlineLvl w:val="0"/>
      </w:pPr>
      <w:r>
        <w:rPr>
          <w:position w:val="-1"/>
        </w:rPr>
        <w:t>2025 г.</w:t>
      </w: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keepNext/>
        <w:keepLines/>
        <w:spacing w:before="0" w:after="0" w:line="480" w:lineRule="auto"/>
        <w:jc w:val="center"/>
        <w:outlineLvl w:val="0"/>
        <w:rPr>
          <w:sz w:val="28"/>
          <w:szCs w:val="28"/>
        </w:rPr>
      </w:pPr>
      <w:r>
        <w:rPr>
          <w:b/>
          <w:bCs/>
          <w:position w:val="-1"/>
          <w:sz w:val="28"/>
          <w:szCs w:val="28"/>
        </w:rPr>
        <w:t>Содержание</w:t>
      </w:r>
    </w:p>
    <w:sdt>
      <w:sdtPr>
        <w:id w:val="1908297625"/>
        <w:placeholder>
          <w:docPart w:val="DefaultPlaceholder_22675703"/>
        </w:placeholder>
        <w:richText/>
      </w:sdtPr>
      <w:sdtContent>
        <w:p>
          <w:pPr>
            <w:tabs>
              <w:tab w:val="right" w:pos="9911"/>
            </w:tabs>
            <w:spacing w:before="0" w:after="0" w:line="360" w:lineRule="auto"/>
            <w:outlineLvl w:val="0"/>
            <w:rPr>
              <w:rFonts w:ascii="Times New Roman" w:eastAsia="Times New Roman" w:hAnsi="Times New Roman" w:cs="Times New Roman"/>
              <w:color w:val="000000"/>
              <w:position w:val="-1"/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\h \u \z </w:instrText>
          </w:r>
          <w:r>
            <w:rPr>
              <w:sz w:val="28"/>
              <w:szCs w:val="28"/>
            </w:rPr>
            <w:fldChar w:fldCharType="separate"/>
          </w:r>
          <w:hyperlink w:anchor="_heading_h.30j0zll" w:tooltip="#_heading=h.30j0zll" w:history="1">
            <w:r>
              <w:rPr>
                <w:rStyle w:val="Hyperlink"/>
                <w:color w:val="0000FF"/>
                <w:position w:val="-1"/>
                <w:sz w:val="28"/>
                <w:szCs w:val="28"/>
                <w:u w:color="0000FF"/>
              </w:rPr>
              <w:t>1. Область применения</w:t>
            </w:r>
          </w:hyperlink>
          <w:hyperlink w:anchor="_heading_h.30j0zll" w:tooltip="#_heading=h.30j0zll" w:history="1">
            <w:r>
              <w:rPr>
                <w:rStyle w:val="Hyperlink"/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u w:color="0000FF"/>
              </w:rPr>
              <w:tab/>
            </w:r>
            <w:r>
              <w:rPr>
                <w:rStyle w:val="Hyperlink"/>
                <w:color w:val="000000"/>
                <w:position w:val="-1"/>
                <w:sz w:val="28"/>
                <w:szCs w:val="28"/>
                <w:u w:val="none"/>
              </w:rPr>
              <w:t>3</w:t>
            </w:r>
          </w:hyperlink>
        </w:p>
        <w:p>
          <w:pPr>
            <w:tabs>
              <w:tab w:val="right" w:pos="9911"/>
            </w:tabs>
            <w:spacing w:before="0" w:after="0" w:line="360" w:lineRule="auto"/>
            <w:outlineLvl w:val="0"/>
            <w:rPr>
              <w:rFonts w:ascii="Times New Roman" w:eastAsia="Times New Roman" w:hAnsi="Times New Roman" w:cs="Times New Roman"/>
              <w:color w:val="000000"/>
              <w:position w:val="-1"/>
              <w:sz w:val="28"/>
              <w:szCs w:val="28"/>
            </w:rPr>
          </w:pPr>
          <w:hyperlink w:anchor="_heading_h.1fob9te" w:tooltip="#_heading=h.1fob9te" w:history="1">
            <w:r>
              <w:rPr>
                <w:rStyle w:val="Hyperlink"/>
                <w:color w:val="0000FF"/>
                <w:position w:val="-1"/>
                <w:sz w:val="28"/>
                <w:szCs w:val="28"/>
                <w:u w:color="0000FF"/>
              </w:rPr>
              <w:t>2. Нормативные ссылки</w:t>
            </w:r>
          </w:hyperlink>
          <w:hyperlink w:anchor="_heading_h.1fob9te" w:tooltip="#_heading=h.1fob9te" w:history="1">
            <w:r>
              <w:rPr>
                <w:rStyle w:val="Hyperlink"/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u w:color="0000FF"/>
              </w:rPr>
              <w:tab/>
            </w:r>
            <w:r>
              <w:rPr>
                <w:rStyle w:val="Hyperlink"/>
                <w:color w:val="000000"/>
                <w:position w:val="-1"/>
                <w:sz w:val="28"/>
                <w:szCs w:val="28"/>
                <w:u w:val="none"/>
              </w:rPr>
              <w:t>3</w:t>
            </w:r>
          </w:hyperlink>
        </w:p>
        <w:p>
          <w:pPr>
            <w:tabs>
              <w:tab w:val="right" w:pos="9911"/>
            </w:tabs>
            <w:spacing w:before="0" w:after="0" w:line="360" w:lineRule="auto"/>
            <w:outlineLvl w:val="0"/>
            <w:rPr>
              <w:rFonts w:ascii="Times New Roman" w:eastAsia="Times New Roman" w:hAnsi="Times New Roman" w:cs="Times New Roman"/>
              <w:color w:val="000000"/>
              <w:position w:val="-1"/>
              <w:sz w:val="28"/>
              <w:szCs w:val="28"/>
            </w:rPr>
          </w:pPr>
          <w:hyperlink w:anchor="_heading_h.2et92p0" w:tooltip="#_heading=h.2et92p0" w:history="1">
            <w:r>
              <w:rPr>
                <w:rStyle w:val="Hyperlink"/>
                <w:color w:val="0000FF"/>
                <w:position w:val="-1"/>
                <w:sz w:val="28"/>
                <w:szCs w:val="28"/>
                <w:u w:color="0000FF"/>
              </w:rPr>
              <w:t>3. Общие требования охраны труда</w:t>
            </w:r>
          </w:hyperlink>
          <w:hyperlink w:anchor="_heading_h.2et92p0" w:tooltip="#_heading=h.2et92p0" w:history="1">
            <w:r>
              <w:rPr>
                <w:rStyle w:val="Hyperlink"/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u w:color="0000FF"/>
              </w:rPr>
              <w:tab/>
            </w:r>
            <w:r>
              <w:rPr>
                <w:rStyle w:val="Hyperlink"/>
                <w:color w:val="000000"/>
                <w:position w:val="-1"/>
                <w:sz w:val="28"/>
                <w:szCs w:val="28"/>
                <w:u w:val="none"/>
              </w:rPr>
              <w:t>3</w:t>
            </w:r>
          </w:hyperlink>
        </w:p>
        <w:p>
          <w:pPr>
            <w:tabs>
              <w:tab w:val="right" w:pos="9911"/>
            </w:tabs>
            <w:spacing w:before="0" w:after="0" w:line="360" w:lineRule="auto"/>
            <w:outlineLvl w:val="0"/>
            <w:rPr>
              <w:rFonts w:ascii="Times New Roman" w:eastAsia="Times New Roman" w:hAnsi="Times New Roman" w:cs="Times New Roman"/>
              <w:color w:val="000000"/>
              <w:position w:val="-1"/>
              <w:sz w:val="28"/>
              <w:szCs w:val="28"/>
            </w:rPr>
          </w:pPr>
          <w:hyperlink w:anchor="_heading_h.tyjcwt" w:tooltip="#_heading=h.tyjcwt" w:history="1">
            <w:r>
              <w:rPr>
                <w:rStyle w:val="Hyperlink"/>
                <w:color w:val="0000FF"/>
                <w:position w:val="-1"/>
                <w:sz w:val="28"/>
                <w:szCs w:val="28"/>
                <w:u w:color="0000FF"/>
              </w:rPr>
              <w:t>4. Требования охраны труда перед началом работы</w:t>
            </w:r>
          </w:hyperlink>
          <w:hyperlink w:anchor="_heading_h.tyjcwt" w:tooltip="#_heading=h.tyjcwt" w:history="1">
            <w:r>
              <w:rPr>
                <w:rStyle w:val="Hyperlink"/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u w:color="0000FF"/>
              </w:rPr>
              <w:tab/>
            </w:r>
            <w:r>
              <w:rPr>
                <w:rStyle w:val="Hyperlink"/>
                <w:color w:val="000000"/>
                <w:position w:val="-1"/>
                <w:sz w:val="28"/>
                <w:szCs w:val="28"/>
                <w:u w:val="none"/>
              </w:rPr>
              <w:t>6</w:t>
            </w:r>
          </w:hyperlink>
        </w:p>
        <w:p>
          <w:pPr>
            <w:tabs>
              <w:tab w:val="right" w:pos="9911"/>
            </w:tabs>
            <w:spacing w:before="0" w:after="0" w:line="360" w:lineRule="auto"/>
            <w:outlineLvl w:val="0"/>
            <w:rPr>
              <w:rFonts w:ascii="Times New Roman" w:eastAsia="Times New Roman" w:hAnsi="Times New Roman" w:cs="Times New Roman"/>
              <w:color w:val="000000"/>
              <w:position w:val="-1"/>
              <w:sz w:val="28"/>
              <w:szCs w:val="28"/>
            </w:rPr>
          </w:pPr>
          <w:hyperlink w:anchor="_heading_h.3dy6vkm" w:tooltip="#_heading=h.3dy6vkm" w:history="1">
            <w:r>
              <w:rPr>
                <w:rStyle w:val="Hyperlink"/>
                <w:color w:val="0000FF"/>
                <w:position w:val="-1"/>
                <w:sz w:val="28"/>
                <w:szCs w:val="28"/>
                <w:u w:color="0000FF"/>
              </w:rPr>
              <w:t>5. Требования охраны труда во время работы</w:t>
            </w:r>
          </w:hyperlink>
          <w:hyperlink w:anchor="_heading_h.3dy6vkm" w:tooltip="#_heading=h.3dy6vkm" w:history="1">
            <w:r>
              <w:rPr>
                <w:rStyle w:val="Hyperlink"/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u w:color="0000FF"/>
              </w:rPr>
              <w:tab/>
            </w:r>
            <w:r>
              <w:rPr>
                <w:rStyle w:val="Hyperlink"/>
                <w:color w:val="000000"/>
                <w:position w:val="-1"/>
                <w:sz w:val="28"/>
                <w:szCs w:val="28"/>
                <w:u w:val="none"/>
              </w:rPr>
              <w:t>7</w:t>
            </w:r>
          </w:hyperlink>
        </w:p>
        <w:p>
          <w:pPr>
            <w:tabs>
              <w:tab w:val="right" w:pos="9911"/>
            </w:tabs>
            <w:spacing w:before="0" w:after="0" w:line="360" w:lineRule="auto"/>
            <w:outlineLvl w:val="0"/>
            <w:rPr>
              <w:rFonts w:ascii="Times New Roman" w:eastAsia="Times New Roman" w:hAnsi="Times New Roman" w:cs="Times New Roman"/>
              <w:color w:val="000000"/>
              <w:position w:val="-1"/>
              <w:sz w:val="28"/>
              <w:szCs w:val="28"/>
            </w:rPr>
          </w:pPr>
          <w:hyperlink w:anchor="_heading_h.1t3h5sf" w:tooltip="#_heading=h.1t3h5sf" w:history="1">
            <w:r>
              <w:rPr>
                <w:rStyle w:val="Hyperlink"/>
                <w:color w:val="0000FF"/>
                <w:position w:val="-1"/>
                <w:sz w:val="28"/>
                <w:szCs w:val="28"/>
                <w:u w:color="0000FF"/>
              </w:rPr>
              <w:t>6. Требования охраны труда в аварийных ситуациях</w:t>
            </w:r>
          </w:hyperlink>
          <w:hyperlink w:anchor="_heading_h.1t3h5sf" w:tooltip="#_heading=h.1t3h5sf" w:history="1">
            <w:r>
              <w:rPr>
                <w:rStyle w:val="Hyperlink"/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u w:color="0000FF"/>
              </w:rPr>
              <w:tab/>
            </w:r>
            <w:r>
              <w:rPr>
                <w:rStyle w:val="Hyperlink"/>
                <w:color w:val="000000"/>
                <w:position w:val="-1"/>
                <w:sz w:val="28"/>
                <w:szCs w:val="28"/>
                <w:u w:val="none"/>
              </w:rPr>
              <w:t>8</w:t>
            </w:r>
          </w:hyperlink>
        </w:p>
        <w:p>
          <w:pPr>
            <w:tabs>
              <w:tab w:val="right" w:pos="9911"/>
            </w:tabs>
            <w:spacing w:before="0" w:after="0" w:line="360" w:lineRule="auto"/>
            <w:outlineLvl w:val="0"/>
            <w:rPr>
              <w:rFonts w:ascii="Times New Roman" w:eastAsia="Times New Roman" w:hAnsi="Times New Roman" w:cs="Times New Roman"/>
              <w:color w:val="000000"/>
              <w:position w:val="-1"/>
              <w:sz w:val="28"/>
              <w:szCs w:val="28"/>
            </w:rPr>
          </w:pPr>
          <w:hyperlink w:anchor="_heading_h.4d34og8" w:tooltip="#_heading=h.4d34og8" w:history="1">
            <w:r>
              <w:rPr>
                <w:rStyle w:val="Hyperlink"/>
                <w:color w:val="0000FF"/>
                <w:position w:val="-1"/>
                <w:sz w:val="28"/>
                <w:szCs w:val="28"/>
                <w:u w:color="0000FF"/>
              </w:rPr>
              <w:t>7. Требования охраны труда по окончании работы</w:t>
            </w:r>
          </w:hyperlink>
          <w:hyperlink w:anchor="_heading_h.4d34og8" w:tooltip="#_heading=h.4d34og8" w:history="1">
            <w:r>
              <w:rPr>
                <w:rStyle w:val="Hyperlink"/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  <w:u w:color="0000FF"/>
              </w:rPr>
              <w:tab/>
            </w:r>
            <w:r>
              <w:rPr>
                <w:rStyle w:val="Hyperlink"/>
                <w:color w:val="000000"/>
                <w:position w:val="-1"/>
                <w:sz w:val="28"/>
                <w:szCs w:val="28"/>
                <w:u w:val="none"/>
              </w:rPr>
              <w:t>9</w:t>
            </w:r>
          </w:hyperlink>
          <w:r>
            <w:rPr>
              <w:rStyle w:val="Hyperlink"/>
              <w:color w:val="000000"/>
              <w:position w:val="-1"/>
              <w:sz w:val="28"/>
              <w:szCs w:val="28"/>
              <w:u w:val="none"/>
            </w:rPr>
            <w:fldChar w:fldCharType="end"/>
          </w:r>
        </w:p>
      </w:sdtContent>
    </w:sdt>
    <w:p>
      <w:pPr>
        <w:spacing w:before="0" w:after="0" w:line="36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jc w:val="center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>
      <w:pPr>
        <w:keepNext/>
        <w:keepLines/>
        <w:spacing w:before="0" w:after="0" w:line="360" w:lineRule="auto"/>
        <w:jc w:val="center"/>
        <w:outlineLvl w:val="0"/>
      </w:pPr>
      <w:bookmarkStart w:id="0" w:name="_heading_h.gjdgxs"/>
      <w:bookmarkEnd w:id="0"/>
      <w:r>
        <w:br w:type="page"/>
      </w:r>
    </w:p>
    <w:p>
      <w:pPr>
        <w:keepNext/>
        <w:keepLines/>
        <w:spacing w:before="0" w:after="0" w:line="360" w:lineRule="auto"/>
        <w:jc w:val="center"/>
        <w:outlineLvl w:val="0"/>
        <w:rPr>
          <w:sz w:val="28"/>
          <w:szCs w:val="28"/>
        </w:rPr>
      </w:pPr>
      <w:bookmarkStart w:id="1" w:name="_heading_h.30j0zll"/>
      <w:bookmarkEnd w:id="1"/>
      <w:r>
        <w:rPr>
          <w:b/>
          <w:bCs/>
          <w:position w:val="-1"/>
          <w:sz w:val="28"/>
          <w:szCs w:val="28"/>
        </w:rPr>
        <w:t>1. Область применения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Регионального этапа Чемпионата по профессиональному мастерству «Профессионалы» в 2025. (далее Чемпионата).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 xml:space="preserve">1.2 Выполнение требований настоящих правил обязательны для всех участников Регионального этапа Чемпионата по профессиональному мастерству «Профессионалы» в 2025 г. компетенции «Инженерия лесопользования и лесовосстановления». </w:t>
      </w:r>
    </w:p>
    <w:p>
      <w:pPr>
        <w:spacing w:before="0" w:after="0" w:line="360" w:lineRule="auto"/>
        <w:jc w:val="center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</w:rPr>
      </w:pPr>
      <w:bookmarkStart w:id="2" w:name="_heading_h.1fob9te"/>
      <w:bookmarkEnd w:id="2"/>
    </w:p>
    <w:p>
      <w:pPr>
        <w:keepNext/>
        <w:keepLines/>
        <w:spacing w:before="0" w:after="0" w:line="360" w:lineRule="auto"/>
        <w:jc w:val="center"/>
        <w:outlineLvl w:val="0"/>
        <w:rPr>
          <w:sz w:val="28"/>
          <w:szCs w:val="28"/>
        </w:rPr>
      </w:pPr>
      <w:r>
        <w:rPr>
          <w:b/>
          <w:bCs/>
          <w:position w:val="-1"/>
          <w:sz w:val="28"/>
          <w:szCs w:val="28"/>
        </w:rPr>
        <w:t>2. Нормативные ссылки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2.1 Правила разработаны на основании следующих документов и источников: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2.1.1 Конституция РФ.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2.1.2 Трудовой кодекс Российской Федерации от 30.12.2001 № 197-ФЗ.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2.1.3 Приказ Минтруда РФ от 29.10.2021 №772н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2.1.4 Лесной кодекс РФ от 4 декабря 2006 г. №200-ФЗ.</w:t>
      </w:r>
    </w:p>
    <w:p>
      <w:pPr>
        <w:numPr>
          <w:ilvl w:val="0"/>
          <w:numId w:val="1"/>
        </w:numPr>
        <w:spacing w:before="0" w:line="360" w:lineRule="auto"/>
        <w:ind w:left="1428" w:right="0" w:hanging="720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ФЗ «Об образовании в РФ» от 29.12.2012 №273.</w:t>
      </w:r>
    </w:p>
    <w:p>
      <w:pPr>
        <w:numPr>
          <w:ilvl w:val="0"/>
          <w:numId w:val="1"/>
        </w:numPr>
        <w:spacing w:line="276" w:lineRule="auto"/>
        <w:ind w:left="1428" w:right="0" w:hanging="72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>ФГОС СПО 35.02.01 Лесное и лесопарковое хозяйство, утвержден приказом Минпросвещения России от 27 октября 2023 № 799.</w:t>
      </w:r>
    </w:p>
    <w:p>
      <w:pPr>
        <w:numPr>
          <w:ilvl w:val="0"/>
          <w:numId w:val="1"/>
        </w:numPr>
        <w:spacing w:line="276" w:lineRule="auto"/>
        <w:ind w:left="1428" w:right="0" w:hanging="72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>ФГОС СПО 35.01.01 Мастер по лесному хозяйству, утвержден приказом Минпросвещения России от 27 октября 2023 № 802.</w:t>
      </w:r>
    </w:p>
    <w:p>
      <w:pPr>
        <w:numPr>
          <w:ilvl w:val="0"/>
          <w:numId w:val="1"/>
        </w:numPr>
        <w:spacing w:line="276" w:lineRule="auto"/>
        <w:ind w:left="1428" w:right="0" w:hanging="72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>Профессиональный стандарт 14.012 Инженер по лесопользованию, утвержден приказом Министерства труда и социальной защиты РФ от 30.08.2018 г. № 566н.</w:t>
      </w:r>
    </w:p>
    <w:p>
      <w:pPr>
        <w:numPr>
          <w:ilvl w:val="0"/>
          <w:numId w:val="1"/>
        </w:numPr>
        <w:spacing w:line="276" w:lineRule="auto"/>
        <w:ind w:left="1428" w:right="0" w:hanging="72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 xml:space="preserve">Типовая инструкция по охране труда при работе на персональном компьютере, утв. Приказом Министерства РФ по связи и информатизации от 02.07.2001 г. №162. </w:t>
      </w:r>
    </w:p>
    <w:p>
      <w:pPr>
        <w:numPr>
          <w:ilvl w:val="0"/>
          <w:numId w:val="1"/>
        </w:numPr>
        <w:spacing w:after="0" w:line="276" w:lineRule="auto"/>
        <w:ind w:left="1428" w:right="0" w:hanging="72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Типовая инструкция по охране труда при выполнении лесоустроительных полевых работ, утверждена Приказом Рослесхоза от 12 мая 2000 г. №79.</w:t>
      </w:r>
    </w:p>
    <w:p>
      <w:pPr>
        <w:spacing w:before="0" w:after="0" w:line="240" w:lineRule="auto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</w:rPr>
      </w:pPr>
    </w:p>
    <w:p>
      <w:pPr>
        <w:keepNext/>
        <w:keepLines/>
        <w:spacing w:before="0" w:after="0" w:line="360" w:lineRule="auto"/>
        <w:jc w:val="center"/>
        <w:outlineLvl w:val="0"/>
        <w:rPr>
          <w:sz w:val="28"/>
          <w:szCs w:val="28"/>
        </w:rPr>
      </w:pPr>
      <w:bookmarkStart w:id="3" w:name="_heading_h.2et92p0"/>
      <w:bookmarkEnd w:id="3"/>
      <w:r>
        <w:rPr>
          <w:b/>
          <w:bCs/>
          <w:position w:val="-1"/>
          <w:sz w:val="28"/>
          <w:szCs w:val="28"/>
        </w:rPr>
        <w:t>3. Общие требования охраны труда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3.1. К выполнению конкурсного задания по компетенции «Инженерия лесопользования и лесовосстановления»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специальности «Лесное и лесопарковое хозяйство» или по профессии «Мастер по лесному хозяйству»,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3.2. Участник Чемпионата обязан: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3.2.1. Выполнять только ту работу, которая определена его ролью на Чемпионате.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3.2.2. Правильно применять средства индивидуальной и коллективной защиты.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3.3.3. Соблюдать требования охраны труда.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- поражение электрическим током;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- повышенная или пониженная температура воздуха рабочей зоны;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- ультрафиолетовое и инфракрасное излучение;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- повышенная яркость света при осуществлении процесса сварки;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- повышенные уровни шума и вибрации на рабочих местах;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- физические и нервно-психические перегрузки;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- падающие предметы (элементы оборудования) и инструмент.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>
      <w:pPr>
        <w:spacing w:before="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bookmarkStart w:id="4" w:name="_heading_h.tyjcwt"/>
      <w:bookmarkEnd w:id="4"/>
    </w:p>
    <w:p>
      <w:pPr>
        <w:keepNext/>
        <w:keepLines/>
        <w:spacing w:before="0" w:after="0" w:line="360" w:lineRule="auto"/>
        <w:jc w:val="center"/>
        <w:outlineLvl w:val="0"/>
        <w:rPr>
          <w:sz w:val="28"/>
          <w:szCs w:val="28"/>
        </w:rPr>
      </w:pPr>
      <w:r>
        <w:rPr>
          <w:b/>
          <w:bCs/>
          <w:position w:val="-1"/>
          <w:sz w:val="28"/>
          <w:szCs w:val="28"/>
        </w:rPr>
        <w:t>4. Требования охраны труда перед началом работы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4.1. Перед началом выполнения работ конкурсант обязан:</w:t>
      </w:r>
    </w:p>
    <w:p>
      <w:pPr>
        <w:numPr>
          <w:ilvl w:val="0"/>
          <w:numId w:val="2"/>
        </w:numPr>
        <w:pBdr>
          <w:left w:val="none" w:sz="0" w:space="6" w:color="auto"/>
        </w:pBdr>
        <w:spacing w:before="0" w:line="360" w:lineRule="auto"/>
        <w:ind w:left="720" w:right="0" w:hanging="360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воды.</w:t>
      </w:r>
    </w:p>
    <w:p>
      <w:pPr>
        <w:numPr>
          <w:ilvl w:val="0"/>
          <w:numId w:val="2"/>
        </w:numPr>
        <w:pBdr>
          <w:left w:val="none" w:sz="0" w:space="6" w:color="auto"/>
        </w:pBdr>
        <w:spacing w:line="360" w:lineRule="auto"/>
        <w:ind w:left="720" w:right="0" w:hanging="360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одеть необходимые средства защиты для выполнения подготовки рабочих мест, инструмента и оборудования.</w:t>
      </w:r>
    </w:p>
    <w:p>
      <w:pPr>
        <w:numPr>
          <w:ilvl w:val="0"/>
          <w:numId w:val="2"/>
        </w:numPr>
        <w:pBdr>
          <w:left w:val="none" w:sz="0" w:space="6" w:color="auto"/>
        </w:pBdr>
        <w:spacing w:before="120" w:after="120" w:line="280" w:lineRule="atLeast"/>
        <w:ind w:left="720" w:right="0" w:hanging="360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подготовить рабочее место:</w:t>
      </w:r>
    </w:p>
    <w:p>
      <w:pPr>
        <w:spacing w:before="120" w:after="120" w:line="280" w:lineRule="atLeast"/>
        <w:ind w:left="720"/>
        <w:jc w:val="both"/>
        <w:outlineLvl w:val="0"/>
      </w:pPr>
      <w:r>
        <w:rPr>
          <w:position w:val="-1"/>
          <w:sz w:val="28"/>
          <w:szCs w:val="28"/>
        </w:rPr>
        <w:t>- разместить канцелярские принадлежности на рабочем столе;</w:t>
      </w:r>
    </w:p>
    <w:p>
      <w:pPr>
        <w:spacing w:before="120" w:after="120" w:line="280" w:lineRule="atLeast"/>
        <w:ind w:left="720"/>
        <w:jc w:val="both"/>
        <w:outlineLvl w:val="0"/>
      </w:pPr>
      <w:r>
        <w:rPr>
          <w:position w:val="-1"/>
          <w:sz w:val="28"/>
          <w:szCs w:val="28"/>
        </w:rPr>
        <w:t>- проверить высоту стула и стола;</w:t>
      </w:r>
    </w:p>
    <w:p>
      <w:pPr>
        <w:spacing w:before="120" w:after="120" w:line="280" w:lineRule="atLeast"/>
        <w:ind w:left="720"/>
        <w:jc w:val="both"/>
        <w:outlineLvl w:val="0"/>
      </w:pPr>
      <w:r>
        <w:rPr>
          <w:position w:val="-1"/>
          <w:sz w:val="28"/>
          <w:szCs w:val="28"/>
        </w:rPr>
        <w:t>- проверить наличие и исправность инструмента и оборудования в соответствии с инфраструктурным листом: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3431"/>
        <w:gridCol w:w="6480"/>
      </w:tblGrid>
      <w:tr>
        <w:tblPrEx>
          <w:tblW w:w="5000" w:type="pct"/>
        </w:tblPrEx>
        <w:trPr>
          <w:tblHeader/>
        </w:trPr>
        <w:tc>
          <w:tcPr>
            <w:tcW w:w="1731" w:type="pct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center"/>
              <w:outlineLvl w:val="0"/>
            </w:pPr>
            <w:r>
              <w:rPr>
                <w:b/>
                <w:bCs/>
                <w:position w:val="-1"/>
              </w:rPr>
              <w:t>Наименование инструмента или оборудования</w:t>
            </w:r>
          </w:p>
        </w:tc>
        <w:tc>
          <w:tcPr>
            <w:tcW w:w="326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center"/>
              <w:outlineLvl w:val="0"/>
            </w:pPr>
            <w:r>
              <w:rPr>
                <w:b/>
                <w:bCs/>
                <w:position w:val="-1"/>
              </w:rPr>
              <w:t>Правила подготовки к выполнению конкурсного задания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Ноутбук/компьютер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76" w:lineRule="auto"/>
              <w:jc w:val="both"/>
              <w:outlineLvl w:val="0"/>
            </w:pPr>
            <w:r>
              <w:rPr>
                <w:position w:val="-1"/>
              </w:rPr>
              <w:t>•</w:t>
            </w:r>
            <w:r>
              <w:rPr>
                <w:position w:val="-1"/>
              </w:rPr>
              <w:t xml:space="preserve">  </w:t>
            </w:r>
            <w:r>
              <w:rPr>
                <w:position w:val="-1"/>
              </w:rPr>
              <w:t>включить, проверить программное обеспечение;</w:t>
            </w:r>
          </w:p>
          <w:p>
            <w:pPr>
              <w:spacing w:before="0" w:after="0" w:line="276" w:lineRule="auto"/>
              <w:jc w:val="both"/>
              <w:outlineLvl w:val="0"/>
            </w:pPr>
            <w:r>
              <w:rPr>
                <w:position w:val="-1"/>
              </w:rPr>
              <w:t>• нельзя часто включать, выключать и перезагружать ноутбук/ компьютер;</w:t>
            </w:r>
          </w:p>
          <w:p>
            <w:pPr>
              <w:spacing w:before="0" w:after="0" w:line="276" w:lineRule="auto"/>
              <w:jc w:val="both"/>
              <w:outlineLvl w:val="0"/>
            </w:pPr>
            <w:r>
              <w:rPr>
                <w:position w:val="-1"/>
              </w:rPr>
              <w:t>• при ощущении, даже незначительного запаха гари, нужно как можно быстрее выключить компьютер из сети и уведомить о случившемся Главного эксперта на площадке;</w:t>
            </w:r>
          </w:p>
          <w:p>
            <w:pPr>
              <w:spacing w:before="0" w:after="0" w:line="276" w:lineRule="auto"/>
              <w:jc w:val="both"/>
              <w:outlineLvl w:val="0"/>
            </w:pPr>
            <w:r>
              <w:rPr>
                <w:position w:val="-1"/>
              </w:rPr>
              <w:t>• для уменьшения воздействия излучения нужно, чтобы расстояние между глазами и дисплеем составляло не менее полуметра;</w:t>
            </w:r>
          </w:p>
          <w:p>
            <w:pPr>
              <w:spacing w:before="0" w:after="0" w:line="276" w:lineRule="auto"/>
              <w:jc w:val="both"/>
              <w:outlineLvl w:val="0"/>
            </w:pPr>
            <w:r>
              <w:rPr>
                <w:position w:val="-1"/>
              </w:rPr>
              <w:t>• клавиатуру разместить на расстоянии 20-30 сантиметров от края стола.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Многофункциональное устройство (МФУ)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Включить, установить бумагу.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Флеш-носитель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Подключить к ноутбуку/компьютеру, сохранить информацию на флеш-носитель, проверить сохранность, переместить на ноутбук/компьютер, отключить от ноутбука/компьютера.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 xml:space="preserve">Квадрокоптер 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hd w:val="clear" w:color="auto" w:fill="FFFFFF"/>
              <w:spacing w:before="0" w:after="0" w:line="240" w:lineRule="atLeast"/>
              <w:outlineLvl w:val="0"/>
            </w:pPr>
            <w:r>
              <w:rPr>
                <w:position w:val="-1"/>
              </w:rPr>
              <w:t>Выполнить сборку, настройку.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Флэш-карта MicroSD c адаптером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hd w:val="clear" w:color="auto" w:fill="FFFFFF"/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Подключить к ноутбуку/компьютеру, сохранить информацию на флэш-карту, проверить сохранность, переместить на ноутбук/компьютер, отключить от ноутбука/компьютера.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Навигатор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Включить и убедиться, что навигатор работает. Проверить уровень сигнала от спутников.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 xml:space="preserve">Буссоль 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Провести внешний осмотр, опробование, определение метрологических характеристик.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Лопата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hd w:val="clear" w:color="auto" w:fill="FFFFFF"/>
              <w:spacing w:before="0" w:after="0" w:line="240" w:lineRule="atLeast"/>
              <w:outlineLvl w:val="0"/>
            </w:pPr>
            <w:r>
              <w:rPr>
                <w:position w:val="-1"/>
              </w:rPr>
              <w:t>Проверить лопату на наличие механических повреждений.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Топор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hd w:val="clear" w:color="auto" w:fill="FFFFFF"/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Проверить целостность топорища, прочность насадки, заточку топора.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Мерная вилка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hd w:val="clear" w:color="auto" w:fill="FFFFFF"/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 xml:space="preserve">Провести внешний осмотр вилки. 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Возрастной бурав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hd w:val="clear" w:color="auto" w:fill="FFFFFF"/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Провести внешний осмотр.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Высотомер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hd w:val="clear" w:color="auto" w:fill="FFFFFF"/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Проверить на точность измерения.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Полнотомер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hd w:val="clear" w:color="auto" w:fill="FFFFFF"/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Провести внешний осмотр.</w:t>
            </w:r>
          </w:p>
        </w:tc>
      </w:tr>
      <w:tr>
        <w:tblPrEx>
          <w:tblW w:w="5000" w:type="pct"/>
        </w:tblPrEx>
        <w:tc>
          <w:tcPr>
            <w:tcW w:w="1731" w:type="pct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Мерная лента</w:t>
            </w:r>
          </w:p>
        </w:tc>
        <w:tc>
          <w:tcPr>
            <w:tcW w:w="3269" w:type="pc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hd w:val="clear" w:color="auto" w:fill="FFFFFF"/>
              <w:spacing w:before="0" w:after="0" w:line="240" w:lineRule="atLeast"/>
              <w:jc w:val="both"/>
              <w:outlineLvl w:val="0"/>
            </w:pPr>
            <w:r>
              <w:rPr>
                <w:position w:val="-1"/>
              </w:rPr>
              <w:t>Проверить исправность механической работы.</w:t>
            </w:r>
          </w:p>
        </w:tc>
      </w:tr>
    </w:tbl>
    <w:p>
      <w:pPr>
        <w:spacing w:before="0" w:after="0" w:line="360" w:lineRule="auto"/>
        <w:jc w:val="both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</w:rPr>
      </w:pP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>
      <w:pPr>
        <w:numPr>
          <w:ilvl w:val="0"/>
          <w:numId w:val="3"/>
        </w:numPr>
        <w:pBdr>
          <w:left w:val="none" w:sz="0" w:space="6" w:color="auto"/>
        </w:pBdr>
        <w:spacing w:before="0" w:line="360" w:lineRule="auto"/>
        <w:ind w:left="720" w:right="0" w:hanging="360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 xml:space="preserve">отсутствие средств индивидуальной защиты; </w:t>
      </w:r>
    </w:p>
    <w:p>
      <w:pPr>
        <w:numPr>
          <w:ilvl w:val="0"/>
          <w:numId w:val="3"/>
        </w:numPr>
        <w:pBdr>
          <w:left w:val="none" w:sz="0" w:space="6" w:color="auto"/>
        </w:pBdr>
        <w:spacing w:after="0" w:line="360" w:lineRule="auto"/>
        <w:ind w:left="720" w:right="0" w:hanging="360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наличие инструмента или оборудования не входящего в инфраструктурный лист Чемпионата или личный инструмент конкурсанта.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>
      <w:pPr>
        <w:spacing w:before="0"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</w:rPr>
      </w:pPr>
      <w:bookmarkStart w:id="5" w:name="_heading_h.3dy6vkm"/>
      <w:bookmarkEnd w:id="5"/>
    </w:p>
    <w:p>
      <w:pPr>
        <w:keepNext/>
        <w:keepLines/>
        <w:spacing w:before="0" w:after="0" w:line="360" w:lineRule="auto"/>
        <w:jc w:val="center"/>
        <w:outlineLvl w:val="0"/>
        <w:rPr>
          <w:sz w:val="28"/>
          <w:szCs w:val="28"/>
        </w:rPr>
      </w:pPr>
      <w:r>
        <w:rPr>
          <w:b/>
          <w:bCs/>
          <w:position w:val="-1"/>
          <w:sz w:val="28"/>
          <w:szCs w:val="28"/>
        </w:rPr>
        <w:t>5. Требования охраны труда во время выполнения работ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2613"/>
        <w:gridCol w:w="7298"/>
      </w:tblGrid>
      <w:tr>
        <w:tblPrEx>
          <w:tblW w:w="5000" w:type="pct"/>
        </w:tblPrEx>
        <w:trPr>
          <w:tblHeader/>
        </w:trPr>
        <w:tc>
          <w:tcPr>
            <w:tcW w:w="1289" w:type="pct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0" w:after="160" w:line="259" w:lineRule="auto"/>
              <w:jc w:val="center"/>
            </w:pPr>
            <w:r>
              <w:rPr>
                <w:b/>
                <w:bCs/>
              </w:rPr>
              <w:t>Наименование инструмента/ оборудования</w:t>
            </w:r>
          </w:p>
        </w:tc>
        <w:tc>
          <w:tcPr>
            <w:tcW w:w="3711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0" w:after="160" w:line="259" w:lineRule="auto"/>
              <w:jc w:val="center"/>
            </w:pPr>
            <w:r>
              <w:rPr>
                <w:b/>
                <w:bCs/>
              </w:rPr>
              <w:t>Требования безопасности</w:t>
            </w: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Ноутбук/компьютер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="0" w:after="160" w:line="259" w:lineRule="auto"/>
              <w:jc w:val="both"/>
            </w:pPr>
            <w:r>
              <w:t>Не подключать/выключать самостоятельно в сеть, не работать влажными и мокрыми руками</w:t>
            </w:r>
          </w:p>
          <w:p>
            <w:pPr>
              <w:spacing w:before="0"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Многофункциональное устройство (МФУ)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Не подключать/выключать самостоятельно в сеть, не работать влажными и мокрыми руками.</w:t>
            </w: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Флеш-носитель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Не работать влажными и мокрыми руками.</w:t>
            </w: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 xml:space="preserve">Квадрокоптер 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 xml:space="preserve">Проверить заряд аккумулятора. Батарейки в аппаратуре управления должны быть не разряжены; </w:t>
            </w:r>
          </w:p>
          <w:p>
            <w:pPr>
              <w:spacing w:before="0" w:after="160" w:line="259" w:lineRule="auto"/>
              <w:jc w:val="both"/>
            </w:pPr>
            <w:r>
              <w:t>полеты производить только на площадке;</w:t>
            </w:r>
          </w:p>
          <w:p>
            <w:pPr>
              <w:spacing w:before="0" w:after="160" w:line="259" w:lineRule="auto"/>
              <w:jc w:val="both"/>
            </w:pPr>
            <w:r>
              <w:t>не касаться вращающихся частей аппарата, дождаться пока вращение полностью прекратится</w:t>
            </w: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Флэш-карта MicroSD c адаптером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Не подключать или извлекать флэш-карту, находящийся во влажном состоянии.</w:t>
            </w: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Навигатор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Не применять в следующих средах: резкое изменение температуры, высокая температура (выше 60 градусов), низкая температура (ниже -10 градусов),</w:t>
            </w:r>
            <w:r>
              <w:t xml:space="preserve">  </w:t>
            </w:r>
            <w:r>
              <w:t>высокая влажность.</w:t>
            </w: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 xml:space="preserve">Буссоль 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 xml:space="preserve">Не использовать в непосредственной близости от массивных стальных предметов. </w:t>
            </w: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Лопата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76" w:lineRule="auto"/>
              <w:jc w:val="both"/>
            </w:pPr>
            <w:r>
              <w:t>Убедиться в нормальной работе лопаты;</w:t>
            </w:r>
          </w:p>
          <w:p>
            <w:pPr>
              <w:spacing w:before="0" w:after="0" w:line="276" w:lineRule="auto"/>
              <w:jc w:val="both"/>
            </w:pPr>
            <w:r>
              <w:t>использовать лопату строго по её назначению;</w:t>
            </w:r>
          </w:p>
          <w:p>
            <w:pPr>
              <w:spacing w:before="0" w:after="0" w:line="276" w:lineRule="auto"/>
              <w:jc w:val="both"/>
            </w:pPr>
            <w:r>
              <w:t>переносить лопату рабочей частью вниз.</w:t>
            </w: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Топор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Пользоваться инструментом по назначению, быть предельно аккуратным, не подставлять части тела под траекторию движения топора.</w:t>
            </w: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Мерная вилка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Пользоваться инструментом по назначению.</w:t>
            </w: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Возрастной</w:t>
            </w:r>
            <w:r>
              <w:rPr>
                <w:color w:val="FF0000"/>
              </w:rPr>
              <w:t xml:space="preserve"> </w:t>
            </w:r>
            <w:r>
              <w:t>бурав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Пользоваться инструментом по назначению.</w:t>
            </w: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Высотомер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Пользоваться инструментом по назначению.</w:t>
            </w: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Полнотомер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Пользоваться инструментом по назначению.</w:t>
            </w:r>
          </w:p>
        </w:tc>
      </w:tr>
      <w:tr>
        <w:tblPrEx>
          <w:tblW w:w="5000" w:type="pct"/>
        </w:tblPrEx>
        <w:tc>
          <w:tcPr>
            <w:tcW w:w="1289" w:type="pct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Мерная лента</w:t>
            </w:r>
          </w:p>
        </w:tc>
        <w:tc>
          <w:tcPr>
            <w:tcW w:w="3711" w:type="pc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160" w:line="259" w:lineRule="auto"/>
              <w:jc w:val="both"/>
            </w:pPr>
            <w:r>
              <w:t>Не размахивать им и быть предельно аккуратным. При переходах мерную ленту следует переносить только в свернутом виде. При работе с мерной лентой нельзя допускать образования петель во избежание ее деформаций.</w:t>
            </w:r>
          </w:p>
        </w:tc>
      </w:tr>
    </w:tbl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b/>
          <w:bCs/>
          <w:position w:val="-1"/>
          <w:sz w:val="28"/>
          <w:szCs w:val="28"/>
        </w:rPr>
        <w:t>5.2 Ввод БПЛА в эксплуатацию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5.2.1 Перед включением питания аппарат должен соответствовать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нормам безопасности.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b/>
          <w:bCs/>
          <w:position w:val="-1"/>
          <w:sz w:val="28"/>
          <w:szCs w:val="28"/>
        </w:rPr>
        <w:t>5.2.2 К полётам допускаются БПЛА:</w:t>
      </w:r>
    </w:p>
    <w:p>
      <w:pPr>
        <w:numPr>
          <w:ilvl w:val="0"/>
          <w:numId w:val="4"/>
        </w:numPr>
        <w:spacing w:before="0" w:line="360" w:lineRule="auto"/>
        <w:ind w:left="1440" w:right="0" w:hanging="36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>полностью исправные;</w:t>
      </w:r>
    </w:p>
    <w:p>
      <w:pPr>
        <w:numPr>
          <w:ilvl w:val="0"/>
          <w:numId w:val="4"/>
        </w:numPr>
        <w:spacing w:line="360" w:lineRule="auto"/>
        <w:ind w:left="1440" w:right="0" w:hanging="36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>все элементы конструкции надёжно закреплены;</w:t>
      </w:r>
    </w:p>
    <w:p>
      <w:pPr>
        <w:numPr>
          <w:ilvl w:val="0"/>
          <w:numId w:val="4"/>
        </w:numPr>
        <w:spacing w:line="360" w:lineRule="auto"/>
        <w:ind w:left="1440" w:right="0" w:hanging="36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>изоляция проводов и целостность конструкции не нарушены;</w:t>
      </w:r>
    </w:p>
    <w:p>
      <w:pPr>
        <w:numPr>
          <w:ilvl w:val="0"/>
          <w:numId w:val="4"/>
        </w:numPr>
        <w:spacing w:after="0" w:line="360" w:lineRule="auto"/>
        <w:ind w:left="1440" w:right="0" w:hanging="36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>аппараты с допустимым зарядом АКБ;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5.2.3 Категорически запрещается подключение АКБ к бпла с установленными пропеллерами вне полётной зоны.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 xml:space="preserve">5.2.4 Для получения разрешения на взлёт, 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участнику необходимо провести предполётную проверку. Разрешение на взлёт даётся Экспертом.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5.2.5 Безопасность при подготовке к вылету. Убедиться, что аккумуляторы дрона заряжены.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Убедиться, что аккумуляторы или батарейки в аппаратуре управления заряжены.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Проверить надёжность затяжки гаек пропеллеров, крепление и целостность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защит винтов, надежность крепления проводов, отсутствие болтающихся проводов.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b/>
          <w:bCs/>
          <w:position w:val="-1"/>
          <w:sz w:val="28"/>
          <w:szCs w:val="28"/>
        </w:rPr>
        <w:t>5.2.6 Безопасность перед взлётом:</w:t>
      </w:r>
    </w:p>
    <w:p>
      <w:pPr>
        <w:numPr>
          <w:ilvl w:val="0"/>
          <w:numId w:val="5"/>
        </w:numPr>
        <w:spacing w:before="0" w:line="360" w:lineRule="auto"/>
        <w:ind w:left="720" w:right="0" w:hanging="36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>знать и помнить время полёта, на которое рассчитан пилотируемый аппарат и его аккумулятор;</w:t>
      </w:r>
    </w:p>
    <w:p>
      <w:pPr>
        <w:numPr>
          <w:ilvl w:val="0"/>
          <w:numId w:val="5"/>
        </w:numPr>
        <w:spacing w:line="360" w:lineRule="auto"/>
        <w:ind w:left="720" w:right="0" w:hanging="36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>до подключения дрона включить пульт управления (пульт), перевести стик газа в нулевое положение;</w:t>
      </w:r>
    </w:p>
    <w:p>
      <w:pPr>
        <w:numPr>
          <w:ilvl w:val="0"/>
          <w:numId w:val="5"/>
        </w:numPr>
        <w:spacing w:line="360" w:lineRule="auto"/>
        <w:ind w:left="720" w:right="0" w:hanging="36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>подключать дрон только перед взлётом, отключать сразу после взлёта;</w:t>
      </w:r>
    </w:p>
    <w:p>
      <w:pPr>
        <w:numPr>
          <w:ilvl w:val="0"/>
          <w:numId w:val="5"/>
        </w:numPr>
        <w:spacing w:line="360" w:lineRule="auto"/>
        <w:ind w:left="720" w:right="0" w:hanging="36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>находится на расстоянии не менее 3 м от летательного аппарата;</w:t>
      </w:r>
    </w:p>
    <w:p>
      <w:pPr>
        <w:numPr>
          <w:ilvl w:val="0"/>
          <w:numId w:val="5"/>
        </w:numPr>
        <w:spacing w:after="0" w:line="360" w:lineRule="auto"/>
        <w:ind w:left="720" w:right="0" w:hanging="360"/>
        <w:jc w:val="both"/>
        <w:rPr>
          <w:sz w:val="28"/>
          <w:szCs w:val="28"/>
        </w:rPr>
      </w:pPr>
      <w:r>
        <w:rPr>
          <w:position w:val="-1"/>
          <w:sz w:val="28"/>
          <w:szCs w:val="28"/>
        </w:rPr>
        <w:t>производить взлет с земли или ровной площадки, на расстоянии не менее 3 метра от препятствий.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b/>
          <w:bCs/>
          <w:position w:val="-1"/>
          <w:sz w:val="28"/>
          <w:szCs w:val="28"/>
        </w:rPr>
        <w:t>5.2.7 Безопасность при пилотировании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Выполнять все указания Экспертов. Убедиться в работе аварийного отключения моторов.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Производить полеты рядом с собой на расстоянии, на котором вам видна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ориентация коптера в пространстве. Не улетать далеко от себя. В случае сомнений в ориентации коптера немедленно выполнить посадку на месте.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При управлении все движения стиками выполнять аккуратно и плавно. Не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допускать резких движений. При необходимости изменить направление полёта двигать стиками следует энергично, но не резко. Резские движения стиками запрещаются.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Движения стиками в края запрещаются.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Летать следует осторожно и выполнять только те элементы, в которых нет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 xml:space="preserve">сомнений. 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Соблюдать скоростной режим. Скорость полёта коптера держать в пределах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скорости идущего человека.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Вернуть коптер к месту посадки к рассчитанному времени, не допускать полной разрядки аккумулятора в полёте.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Посадку выполнять только на ровную открытую площадку вдали от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 xml:space="preserve">препятствий. 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b/>
          <w:bCs/>
          <w:position w:val="-1"/>
          <w:sz w:val="28"/>
          <w:szCs w:val="28"/>
        </w:rPr>
        <w:t>В случае удара об землю или жесткой посадки выполнить следующие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действия: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− прекратить полёт. Посадить коптер на землю;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− отключить аккумулятор на коптере;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− отключить пульт;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b/>
          <w:bCs/>
          <w:position w:val="-1"/>
          <w:sz w:val="28"/>
          <w:szCs w:val="28"/>
        </w:rPr>
        <w:t>После запланированной посадки выполнить следующие действия: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 xml:space="preserve">− Посадить коптер на землю 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− отключить аккумулятор на коптере;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− отключить пульт.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b/>
          <w:bCs/>
          <w:position w:val="-1"/>
          <w:sz w:val="28"/>
          <w:szCs w:val="28"/>
        </w:rPr>
        <w:t>5.2.8 Запрещается: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- выполнять полёты без разрешения экспертов;</w:t>
      </w:r>
    </w:p>
    <w:p>
      <w:pPr>
        <w:spacing w:before="0" w:after="0" w:line="360" w:lineRule="auto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- входить в полётную зону при включенных пропеллерах коптера.</w:t>
      </w:r>
    </w:p>
    <w:p>
      <w:pPr>
        <w:spacing w:before="120" w:after="120"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 При выполнении конкурсных заданий и уборке рабочих мест:</w:t>
      </w:r>
    </w:p>
    <w:p>
      <w:pPr>
        <w:spacing w:before="120" w:after="120"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>
      <w:pPr>
        <w:spacing w:before="120" w:after="120"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соблюдать настоящую инструкцию;</w:t>
      </w:r>
    </w:p>
    <w:p>
      <w:pPr>
        <w:spacing w:before="120" w:after="120"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>
      <w:pPr>
        <w:spacing w:before="120" w:after="120"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поддерживать порядок и чистоту на рабочем месте;</w:t>
      </w:r>
    </w:p>
    <w:p>
      <w:pPr>
        <w:spacing w:before="120" w:after="120"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-рабочий инструмент располагать таким образом, чтобы исключалась возможность его скатывания и падения;</w:t>
      </w:r>
    </w:p>
    <w:p>
      <w:pPr>
        <w:spacing w:before="120" w:after="120"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конкурсные задания только исправным инструментом;</w:t>
      </w:r>
    </w:p>
    <w:p>
      <w:pPr>
        <w:spacing w:before="120" w:after="120"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При неисправности инструмента и оборудования – прекратить выполнение конкурсного задания и сообщить об этом техническому эксперту.</w:t>
      </w:r>
    </w:p>
    <w:p>
      <w:pPr>
        <w:spacing w:before="0" w:after="0" w:line="360" w:lineRule="auto"/>
        <w:jc w:val="both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bookmarkStart w:id="6" w:name="_heading_h.1t3h5sf"/>
      <w:bookmarkEnd w:id="6"/>
    </w:p>
    <w:p>
      <w:pPr>
        <w:keepNext/>
        <w:keepLines/>
        <w:spacing w:before="0" w:after="0" w:line="360" w:lineRule="auto"/>
        <w:jc w:val="center"/>
        <w:outlineLvl w:val="0"/>
        <w:rPr>
          <w:sz w:val="28"/>
          <w:szCs w:val="28"/>
        </w:rPr>
      </w:pPr>
      <w:r>
        <w:rPr>
          <w:rFonts w:ascii="Cambria" w:eastAsia="Cambria" w:hAnsi="Cambria" w:cs="Cambria"/>
          <w:b/>
          <w:bCs/>
          <w:position w:val="-1"/>
          <w:sz w:val="28"/>
          <w:szCs w:val="28"/>
        </w:rPr>
        <w:t>6. Требования охраны труда в аварийных ситуациях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6.1.1. Немедленно прекратить работы и известить главного эксперта.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6.2. При обнаружении в процессе работы возгораний необходимо:</w:t>
      </w:r>
    </w:p>
    <w:p>
      <w:pPr>
        <w:numPr>
          <w:ilvl w:val="0"/>
          <w:numId w:val="6"/>
        </w:numPr>
        <w:pBdr>
          <w:left w:val="none" w:sz="0" w:space="6" w:color="auto"/>
        </w:pBdr>
        <w:spacing w:before="0" w:after="0" w:line="360" w:lineRule="auto"/>
        <w:ind w:left="720" w:right="0" w:hanging="360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немедленно оповестить Экспертов.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6.5. В случае возникновения пожара: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6.5.1.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>
      <w:pPr>
        <w:spacing w:before="0"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</w:rPr>
      </w:pPr>
      <w:bookmarkStart w:id="7" w:name="_heading_h.4d34og8"/>
      <w:bookmarkEnd w:id="7"/>
    </w:p>
    <w:p>
      <w:pPr>
        <w:keepNext/>
        <w:keepLines/>
        <w:spacing w:before="0" w:after="0" w:line="360" w:lineRule="auto"/>
        <w:jc w:val="center"/>
        <w:outlineLvl w:val="0"/>
        <w:rPr>
          <w:sz w:val="28"/>
          <w:szCs w:val="28"/>
        </w:rPr>
      </w:pPr>
      <w:r>
        <w:rPr>
          <w:rFonts w:ascii="Cambria" w:eastAsia="Cambria" w:hAnsi="Cambria" w:cs="Cambria"/>
          <w:b/>
          <w:bCs/>
          <w:position w:val="-1"/>
          <w:sz w:val="28"/>
          <w:szCs w:val="28"/>
        </w:rPr>
        <w:t>7. Требования охраны труда по окончании работы</w:t>
      </w:r>
    </w:p>
    <w:p>
      <w:pPr>
        <w:spacing w:before="0" w:after="0"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7.1. После окончания работ каждый конкурсант обязан:</w:t>
      </w:r>
    </w:p>
    <w:p>
      <w:pPr>
        <w:numPr>
          <w:ilvl w:val="0"/>
          <w:numId w:val="7"/>
        </w:numPr>
        <w:pBdr>
          <w:left w:val="none" w:sz="0" w:space="6" w:color="auto"/>
        </w:pBdr>
        <w:spacing w:before="0" w:line="360" w:lineRule="auto"/>
        <w:ind w:left="720" w:right="0" w:hanging="360"/>
        <w:jc w:val="left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привести в порядок рабочее место;</w:t>
      </w:r>
    </w:p>
    <w:p>
      <w:pPr>
        <w:numPr>
          <w:ilvl w:val="0"/>
          <w:numId w:val="7"/>
        </w:numPr>
        <w:pBdr>
          <w:left w:val="none" w:sz="0" w:space="6" w:color="auto"/>
        </w:pBdr>
        <w:spacing w:line="360" w:lineRule="auto"/>
        <w:ind w:left="720" w:right="0" w:hanging="360"/>
        <w:jc w:val="left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убрать средства индивидуальной защиты в отведенное для хранений место.</w:t>
      </w:r>
    </w:p>
    <w:p>
      <w:pPr>
        <w:numPr>
          <w:ilvl w:val="0"/>
          <w:numId w:val="7"/>
        </w:numPr>
        <w:pBdr>
          <w:left w:val="none" w:sz="0" w:space="6" w:color="auto"/>
        </w:pBdr>
        <w:spacing w:line="360" w:lineRule="auto"/>
        <w:ind w:left="720" w:right="0" w:hanging="360"/>
        <w:jc w:val="left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отключить инструмент и оборудование от сети;</w:t>
      </w:r>
    </w:p>
    <w:p>
      <w:pPr>
        <w:numPr>
          <w:ilvl w:val="0"/>
          <w:numId w:val="7"/>
        </w:numPr>
        <w:pBdr>
          <w:left w:val="none" w:sz="0" w:space="6" w:color="auto"/>
        </w:pBdr>
        <w:spacing w:line="360" w:lineRule="auto"/>
        <w:ind w:left="720" w:right="0" w:hanging="360"/>
        <w:jc w:val="left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инструмент убрать в специально предназначенное для хранений место;</w:t>
      </w:r>
    </w:p>
    <w:p>
      <w:pPr>
        <w:numPr>
          <w:ilvl w:val="0"/>
          <w:numId w:val="7"/>
        </w:numPr>
        <w:pBdr>
          <w:left w:val="none" w:sz="0" w:space="6" w:color="auto"/>
        </w:pBdr>
        <w:spacing w:after="0" w:line="360" w:lineRule="auto"/>
        <w:ind w:left="720" w:right="0" w:hanging="360"/>
        <w:jc w:val="both"/>
        <w:outlineLvl w:val="0"/>
        <w:rPr>
          <w:sz w:val="28"/>
          <w:szCs w:val="28"/>
        </w:rPr>
      </w:pPr>
      <w:r>
        <w:rPr>
          <w:position w:val="-1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>
      <w:pPr>
        <w:spacing w:before="0" w:after="0" w:line="360" w:lineRule="auto"/>
        <w:ind w:left="360"/>
        <w:jc w:val="both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</w:rPr>
      </w:pPr>
    </w:p>
    <w:sectPr>
      <w:footerReference w:type="default" r:id="rId5"/>
      <w:pgSz w:w="11906" w:h="16838"/>
      <w:pgMar w:top="851" w:right="567" w:bottom="851" w:left="1418" w:header="708" w:footer="708"/>
      <w:pgNumType w:fmt="decimal" w:start="1" w:chapStyle="0" w:chapSep="hyphen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before="0" w:after="0" w:line="240" w:lineRule="auto"/>
      <w:jc w:val="right"/>
      <w:outlineLvl w:val="0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>PAGE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>11</w:t>
    </w:r>
    <w:r>
      <w:rPr>
        <w:rFonts w:ascii="Calibri" w:eastAsia="Calibri" w:hAnsi="Calibri" w:cs="Calibri"/>
        <w:position w:val="-1"/>
        <w:sz w:val="22"/>
        <w:szCs w:val="22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5"/>
      <w:numFmt w:val="decimal"/>
      <w:lvlText w:val="2.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hybrid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hybridMultilevel"/>
    <w:tmpl w:val="000000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hybridMultilevel"/>
    <w:tmpl w:val="0000000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hybridMultilevel"/>
    <w:tmpl w:val="0000000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hybridMultilevel"/>
    <w:tmpl w:val="000000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7"/>
    <w:multiLevelType w:val="hybridMultilevel"/>
    <w:tmpl w:val="000000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line="1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divSection1">
    <w:name w:val="div_Section_1"/>
    <w:basedOn w:val="Normal"/>
  </w:style>
  <w:style w:type="character" w:customStyle="1" w:styleId="PlaceholderText">
    <w:name w:val="Placeholder Text"/>
    <w:basedOn w:val="DefaultParagraphFont"/>
    <w:uiPriority w:val="99"/>
    <w:semiHidden/>
    <w:rPr>
      <w:color w:val="808080"/>
    </w:rPr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glossaryDocument" Target="glossary/document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486DC-BFED-4879-B2B8-170FEF5928D3}"/>
      </w:docPartPr>
      <w:docPartBody>
        <w:p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7B5"/>
  </w:style>
  <w:style w:type="character" w:default="1" w:styleId="DefaultParagraphFont">
    <w:name w:val="Default Paragraph Font"/>
    <w:uiPriority w:val="1"/>
    <w:semiHidden/>
    <w:unhideWhenUsed/>
  </w:style>
  <w:style w:type="character" w:customStyle="1" w:styleId="PlaceholderText">
    <w:name w:val="Placeholder Text"/>
    <w:basedOn w:val="DefaultParagraphFont"/>
    <w:uiPriority w:val="99"/>
    <w:semiHidden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